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3F" w:rsidRDefault="0092193F" w:rsidP="00CF3044">
      <w:pPr>
        <w:autoSpaceDE w:val="0"/>
        <w:autoSpaceDN w:val="0"/>
        <w:adjustRightInd w:val="0"/>
        <w:spacing w:after="0" w:line="240" w:lineRule="auto"/>
        <w:ind w:left="646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PATVIRTINTA</w:t>
      </w:r>
    </w:p>
    <w:p w:rsidR="0092193F" w:rsidRDefault="0092193F" w:rsidP="00CF3044">
      <w:pPr>
        <w:autoSpaceDE w:val="0"/>
        <w:autoSpaceDN w:val="0"/>
        <w:adjustRightInd w:val="0"/>
        <w:spacing w:after="0" w:line="240" w:lineRule="auto"/>
        <w:ind w:left="646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Alytaus r. meno ir sporto</w:t>
      </w:r>
    </w:p>
    <w:p w:rsidR="0092193F" w:rsidRDefault="0092193F" w:rsidP="00CF3044">
      <w:pPr>
        <w:autoSpaceDE w:val="0"/>
        <w:autoSpaceDN w:val="0"/>
        <w:adjustRightInd w:val="0"/>
        <w:spacing w:after="0" w:line="240" w:lineRule="auto"/>
        <w:ind w:left="646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mokyklos direktoriaus</w:t>
      </w:r>
    </w:p>
    <w:p w:rsidR="0092193F" w:rsidRDefault="002C6230" w:rsidP="00CF3044">
      <w:pPr>
        <w:autoSpaceDE w:val="0"/>
        <w:autoSpaceDN w:val="0"/>
        <w:adjustRightInd w:val="0"/>
        <w:spacing w:after="0" w:line="240" w:lineRule="auto"/>
        <w:ind w:left="646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2021 m. vasario 15</w:t>
      </w:r>
      <w:r w:rsidR="0092193F">
        <w:rPr>
          <w:rFonts w:ascii="TimesNewRoman" w:hAnsi="TimesNewRoman" w:cs="TimesNewRoman"/>
          <w:sz w:val="24"/>
          <w:szCs w:val="24"/>
        </w:rPr>
        <w:t xml:space="preserve"> d.</w:t>
      </w:r>
    </w:p>
    <w:p w:rsidR="00D52F40" w:rsidRDefault="0092193F" w:rsidP="00CF3044">
      <w:pPr>
        <w:ind w:left="6463"/>
        <w:jc w:val="both"/>
      </w:pPr>
      <w:r>
        <w:rPr>
          <w:rFonts w:ascii="TimesNewRoman" w:hAnsi="TimesNewRoman" w:cs="TimesNewRoman"/>
          <w:sz w:val="24"/>
          <w:szCs w:val="24"/>
        </w:rPr>
        <w:t>įsakymu Nr. MV-</w:t>
      </w:r>
      <w:r w:rsidR="002C6230">
        <w:rPr>
          <w:rFonts w:ascii="TimesNewRoman" w:hAnsi="TimesNewRoman" w:cs="TimesNewRoman"/>
          <w:sz w:val="24"/>
          <w:szCs w:val="24"/>
        </w:rPr>
        <w:t>10</w:t>
      </w:r>
    </w:p>
    <w:p w:rsidR="00B47831" w:rsidRDefault="00B47831"/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="00B47831" w:rsidRPr="00B47831">
        <w:rPr>
          <w:b/>
          <w:sz w:val="28"/>
          <w:szCs w:val="28"/>
        </w:rPr>
        <w:t xml:space="preserve"> </w:t>
      </w:r>
      <w:bookmarkStart w:id="0" w:name="_GoBack"/>
      <w:r w:rsidR="00B47831" w:rsidRPr="00B47831">
        <w:rPr>
          <w:b/>
          <w:sz w:val="28"/>
          <w:szCs w:val="28"/>
        </w:rPr>
        <w:t>ALYTAUS</w:t>
      </w:r>
      <w:r w:rsidR="00B47831">
        <w:t xml:space="preserve"> </w:t>
      </w:r>
      <w:r w:rsidR="00B47831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R. MENO IR SPORTO MOKYKLOS MOKYTOJŲ IR PAGALBOS</w:t>
      </w: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       </w:t>
      </w:r>
      <w:r w:rsidR="00B47831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MOKINIUI SPECIALISTŲ (IŠSKYRUS PSICHOLOGUS) ATESTACIJOS</w:t>
      </w:r>
    </w:p>
    <w:p w:rsidR="00B47831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                                   </w:t>
      </w:r>
      <w:r w:rsidR="00B47831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KOMISIJOS DARBO REGLAMENTAS</w:t>
      </w:r>
      <w:bookmarkEnd w:id="0"/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                                             I. BENDROSIOS NUOSTATOS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Alytaus r. meno ir sporto mokyklos Mokytojų ir pagalbos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mokiniui specialistų (išskyrus psichologus) atestacijos komisijos (toliau – atestacijos komisijos)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darbo reglamentas nustato mokytojų ir pagalbos mokiniui specialistų (išskyrus psichologus)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atestacijos komisijos darbo tvarką.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2. Alytaus r. meno ir sporto mokyklos atestacijos komisijos darbo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reglamentas parengtas vadovaujantis Mokytojų ir pagalbos mokiniui specialistų (išskyrus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psichologus) atestacijos nuostatais (toliau – Nuostatais), patvirtintais Lietuvos Respublikos švietimo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ir mokslo ministro 2008 m. lapkričio 24 d. įsakymu Nr. ISAK- 3216.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II. ATESTACIJOS KOMISIJOS SUDARYMAS,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PERRINKIMAS IR ATNAUJINIMAS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3. Atestacijos komisija vykdo Mokytojų ir pagalbos mokiniui specialistų atestaciją  Alytaus r. meno ir sporto mokykloje.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4. Atestacijos komisijos sudėtį tvirtina steigėjas – Alytaus rajono savivaldybės taryba ar jos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įgaliotas asmuo (toliau – steigėjas).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5. Atestacijos komisiją mokykloje sudaro pirmininkas ir 4 nariai. Pirmininku (mokyklos tarybos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siūlym</w:t>
      </w:r>
      <w:r w:rsidR="0077439A">
        <w:rPr>
          <w:rFonts w:ascii="TimesNewRoman" w:hAnsi="TimesNewRoman" w:cs="TimesNewRoman"/>
          <w:color w:val="000000"/>
          <w:sz w:val="24"/>
          <w:szCs w:val="24"/>
        </w:rPr>
        <w:t>u) tampa mokyklos direktorius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>,</w:t>
      </w:r>
      <w:r w:rsidR="0077439A">
        <w:rPr>
          <w:rFonts w:ascii="TimesNewRoman" w:hAnsi="TimesNewRoman" w:cs="TimesNewRoman"/>
          <w:color w:val="000000"/>
          <w:sz w:val="24"/>
          <w:szCs w:val="24"/>
        </w:rPr>
        <w:t xml:space="preserve"> vieną narį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į atestacijos komisiją renka mokyklos taryba (neg</w:t>
      </w:r>
      <w:r w:rsidR="0077439A">
        <w:rPr>
          <w:rFonts w:ascii="TimesNewRoman" w:hAnsi="TimesNewRoman" w:cs="TimesNewRoman"/>
          <w:color w:val="000000"/>
          <w:sz w:val="24"/>
          <w:szCs w:val="24"/>
        </w:rPr>
        <w:t>ali būti siūlomi mokiniai), du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narius (turinčius ne mažesnę kaip vyresniojo mokytojo ar vyresniojo pagalbos mokiniui specialisto kvalifikacinę kategoriją) renka mokytojų taryba, vieną narį skiria steigėjas.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6. Atestacijos komisija pasirinktu balsavimo būdu renka sekretorių.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7. Atestacijos komisijos sudėtis atnaujinama ne mažiau kaip trečdaliu narių kas treji metai nuo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jos sudarymo dienos.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III. ATESTACIJOS KOMISIJOS FUNKCIJOS, POSĖDŽIŲ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ORGANIZAVIMAS, SPRENDIMŲ PRIĖMIMAS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8. Atestacijos komisijos funkcijos: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8.1.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teikti informaciją mokytojams ir pagalbos mokiniui specialistams apie atestacijos tvarką,</w:t>
      </w:r>
    </w:p>
    <w:p w:rsidR="0077439A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atestacijos programą, atestacijos komisijos posėdžių datas ir a</w:t>
      </w:r>
      <w:r w:rsidR="0077439A">
        <w:rPr>
          <w:rFonts w:ascii="TimesNewRoman" w:hAnsi="TimesNewRoman" w:cs="TimesNewRoman"/>
          <w:color w:val="000000"/>
          <w:sz w:val="24"/>
          <w:szCs w:val="24"/>
        </w:rPr>
        <w:t>testacijos komisijos nutarimus;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8.2.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pagal per metus pateiktus mokytojų ir pagalbos mokiniui specialistų prašymus kasmet rengti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ir suderinus su mokyklos direktoriumi, mokyklos taryba, mokytojų taryba, darbuotojų atstovais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teikti steigėjui tvirtinti trejų metų (slenkamuoju principu sudaromą) atestacijos programą.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8.3.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Atestacijos laikotarpis programoje gali būti nurodomas mėnesiais, ketvirčiais arba pusmečiais;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8.4.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tvirtinti atestacijos komisijos posėdžių grafiką metams;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8.5.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tvirtinti atestacijos komisijos darbo reglamentą;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8.6.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 xml:space="preserve">svarstyti klausimus dėl kvalifikacinių kategorijų suteikimo </w:t>
      </w:r>
      <w:r w:rsidR="00CF3044">
        <w:rPr>
          <w:rFonts w:ascii="TimesNewRoman" w:hAnsi="TimesNewRoman" w:cs="TimesNewRoman"/>
          <w:color w:val="000000"/>
          <w:sz w:val="24"/>
          <w:szCs w:val="24"/>
        </w:rPr>
        <w:t xml:space="preserve">mokytojams ir pagalbos mokiniui  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specialistams ir galėti priimti sprendimus: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8.7.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suteikti mokytojui ar pagalbos mokiniui specialistui pretenduojamą kvalifikacinę kategoriją;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8.8.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suteikti mokytojui ar pagalbos mokiniui specialistui žemesnę nei pretenduojama kvalifikacinę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kategoriją;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8.9.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nesuteikti mokytojui ar pagalbos mokiniui specialistui kvalifikacinės kategorijos;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8.10. </w:t>
      </w:r>
      <w:r w:rsidR="0092193F">
        <w:rPr>
          <w:rFonts w:ascii="TimesNewRoman" w:hAnsi="TimesNewRoman" w:cs="TimesNewRoman"/>
          <w:color w:val="000000"/>
          <w:sz w:val="24"/>
          <w:szCs w:val="24"/>
        </w:rPr>
        <w:t>s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iūlyti mokytojui ar pagalbos mokiniui specialistui atestuotis aukštesnei kvalifikacinei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kategorijai;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8.11.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svarstyti klausimus dėl mokytojo ar pagalbos mokiniui specialisto veiklos atitikties turimai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kvalifikacinei kategorijai;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8.12.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atidėti (pratęsti) atestacijos (pagal atestacijos programą) ar mokytojo ir pagalbos mokiniui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specialisto veiklos atitikties turimai kvalifikacinei kategorijai nustatymo terminą gavus motyvuotą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mokytojo ar pagalbos mokiniui specialisto prašymą (dėl ligos, stažuotės ar kitų objektyvių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priežasčių). Mokytojo ar pagalbos mokiniui specialisto veiklos atitikties turimai kvalifikacinei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kategorijai nustatymą komisija gali atidėti ne ilgiau kaip vieneriems metams;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8.13.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svarstyti mokytojų ir pagalbos mokiniui specialistų prašymus dėl praktinės veiklos vertinimo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peržiūrėjimo (pagal Nuostatų 81 punktą).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9. Atestacijos komisijos darbui vadovauja pirmininkas.</w:t>
      </w:r>
    </w:p>
    <w:p w:rsidR="0077439A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10. Komisijos sekretorius: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10.1.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registruoja mokytojų ir pagalbos mokiniui specialistų pateiktus dokumentus;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paskelbia posėdžio darbotvarkę ir sukviečia į posėdį atestacijos komisijos narius ne vėliau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kaip prieš savaitę iki posėdžio pradžios;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10.2.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rengia balsavimo biuletenius (esant slaptam balsavimui);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10.3. rašo posėdžių protokolus.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11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komisijos posėdžiai organizuojami vieną kartą per šešis mėnesius. Esant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būtinybei, gali būti organizuojamas neeilinis atestacijos komisijos posėdis.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12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komisijos posėdyje dalyvauja atestuojamas mokytojas ar pagalbos mokiniui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specialistas ir jo praktinio darbo vertintojas (-ai). Posėdyje stebėtojų teisėmis gali dalyvauti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Švietimo ir mokslo ministerijos (toliau – ministerija), apskričių viršininkų administracijų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valstybinės švietimo priežiūros skyrių (tarnybų) specialistai.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13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komisijos posėdžiui pirmininkauja Atestacijos komisijos pirmininkas. Posėdyje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nedalyvaujant atestacijos komisijos pirmininkui, jo pareigas laikinai perima steigėjo deleguotas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komisijos narys.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14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komisijos posėdis laikomas teisėtu, jei jame dalyvauja ne mažiau kaip du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trečdaliai atestacijos komisijos narių.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15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Atestacinės komisijos narys, negalintis dalyvauti posėdyje, privalo apie tai pranešti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Atestacinės komisijos pirmininkui.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16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komisija priima sprendimus slaptu balsavimo būdu. Sprendimas priimamas, jei už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jį balsuoja daugiau nei pusė posėdyje dalyvaujančių narių. Priimant sprendimą dalyvauja tik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atestacijos komisijos nariai (atestuojamas atestacijos komisijos narys balsuojant nedalyvauja). Esant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vienodam balsų skaičiui sprendimas nepriimamas, atestacijos komisijos nariai privalo pakartot</w:t>
      </w:r>
      <w:r w:rsidR="0077439A">
        <w:rPr>
          <w:rFonts w:ascii="TimesNewRoman" w:hAnsi="TimesNewRoman" w:cs="TimesNewRoman"/>
          <w:color w:val="000000"/>
          <w:sz w:val="24"/>
          <w:szCs w:val="24"/>
        </w:rPr>
        <w:t>inai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nagrinėti ir aptarti svarstomą klausimą šiame ar kitame komisijos posėdyje (ne vėliau kaip po vieno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mėnesio).</w:t>
      </w:r>
    </w:p>
    <w:p w:rsidR="00B47831" w:rsidRDefault="0077439A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17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komisija savo nutarimą dėl kvalifikacinės kategorijos suteikimo ne vėliau kaip per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5 darbo dienas teikia institucijos vadovui tvirtinti. Šis ne vėliau kaip per 5 darbo dienas tvirtina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atestacijos komisijos nutarimą. Institucijos vadovas, nesutinkantis tvirtinti atestacijos komisijos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nutarimu suteiktą kvalifikacinę kategoriją, teikia argumentuotą atsakymą (raštu).</w:t>
      </w:r>
    </w:p>
    <w:p w:rsidR="00B47831" w:rsidRDefault="004775F2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18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Kvalifikacinė kategorija mokytojui ar pagalbos mokiniui specialistui atestacijos komisijos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nutarimu suteikiama nuo sausio 1 d. (jei atestuojamas rugsėjo 1 d. – gruodžio 31 d. laikotarpiu) arba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rugsėjo 1 d. (jei atestuojamas sausio 1 d. – rugpjūčio 31 d. laikotarpiu).</w:t>
      </w:r>
    </w:p>
    <w:p w:rsidR="004775F2" w:rsidRDefault="004775F2" w:rsidP="002C623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4775F2" w:rsidRDefault="004775F2" w:rsidP="00CF30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4"/>
          <w:szCs w:val="24"/>
        </w:rPr>
      </w:pPr>
    </w:p>
    <w:p w:rsidR="00B47831" w:rsidRDefault="00B47831" w:rsidP="00CF30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IV. ATESTACIJOS DOKUMENTŲ ĮFORMINIMAS IR SAUGOJIMAS. ATESTACIJOS</w:t>
      </w:r>
    </w:p>
    <w:p w:rsidR="00B47831" w:rsidRDefault="00B47831" w:rsidP="00CF30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PAŽYMĖJIMŲ IŠDAVIMAS IR APSKAITA</w:t>
      </w:r>
    </w:p>
    <w:p w:rsidR="004775F2" w:rsidRDefault="004775F2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20. Posėdžių protokolus pasirašo Atestacijos komisijos pirmininkas ir sekretorius. Protokole turi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būti nurodyta data, protokolo registravimo numeris, posėdžio dalyviai, svarstyti klausimai, posėdžio</w:t>
      </w:r>
      <w:r w:rsidR="002C6230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metu pasisakę bei klausimus pateikę asmenys, balsavimo rezultatai ir priimti sprendimai.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21. Sekretorius atsako už dokumentų, susijusių su Komisijos posėdžiais, tolesnį saugojimą teisės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aktų nustatyta tvarka.</w:t>
      </w:r>
    </w:p>
    <w:p w:rsidR="002C6230" w:rsidRDefault="002C6230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2C6230" w:rsidRDefault="002C6230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22. Kalendoriniams metams pasibaigus, Sekretorius turimus dokumentus, susijusius su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Atestacijos komisijos posėdžiais, perduoda saugoti į mokyklos archyvą. Atestacijos komisijos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dokumentai įforminami ir saugomi teisės aktų, reglamentuojančių dokumentų valdymą, nustatyta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tvarka.</w:t>
      </w: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47831" w:rsidRDefault="00B47831" w:rsidP="00CF30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V. ATESTACIJOS KOMISIJOS ATSAKOMYBĖ</w:t>
      </w: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B47831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23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Jei atestacijos komisija ar švietimo priežiūrą vykdančios institucijos nustato, kad mokytojo ar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pagalbos mokiniui specialisto pateiktuose atestacijos dokumentuose yra klaidų, dėl kurių asmuo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negalėjo būti atestuotas atitinkamai kvalifikacinei kategorijai, ar dokumentai buvo suklastoti,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atestacijos komisijos nutarimu jam gali būti panaikinta suteikta kvalifikacinė kategorija ir taikoma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atsakomybė teisės aktų nustatyta tvarka.</w:t>
      </w:r>
    </w:p>
    <w:p w:rsidR="00B47831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24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Atestacijos komisijos pirmininkas ir nariai atsako už Nuostatų vykdymą, komisijos priimtų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nutarimų teisingumą ir objektyvumą, atestacijos dokumentų visišką atitiktį Nuostatų reikalavimams.</w:t>
      </w:r>
    </w:p>
    <w:p w:rsidR="00B47831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25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Jei švietimo priežiūrą vykdančios institucijos nustato, kad mokytojui ar pagalbos mokiniui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specialistui suteikta kvalifikacinė kategorija neatitinka kvalifikacinei kategorijai keliamų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reikalavimų ar buvo pažeista atestacijos procedūra, atestacijos komisijos pirmininkas ir nariai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atsako teisės aktų nustatyta tvarka.</w:t>
      </w:r>
    </w:p>
    <w:p w:rsidR="00B47831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26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. Jei švietimo priežiūrą vykdančios institucijos nustato, kad mokytojo ar pagalbos mokiniui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specialisto praktinė veikla buvo įvertinta neobjektyviai ar nekompetentingai steigėjo iniciatyva turi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būti svarstomas vertintojų kompetencijos klausimas ir teisė vertinti mokytojų ar pagalbos mokiniui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specialistų praktinę veiklą ateityje, jiems gali būti taikoma atsakomybė teisės aktų nustatyta tvarka.</w:t>
      </w:r>
    </w:p>
    <w:p w:rsidR="00B47831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</w:t>
      </w:r>
      <w:r w:rsidR="00B47831">
        <w:rPr>
          <w:rFonts w:ascii="TimesNewRoman" w:hAnsi="TimesNewRoman" w:cs="TimesNewRoman"/>
          <w:color w:val="000000"/>
          <w:sz w:val="24"/>
          <w:szCs w:val="24"/>
        </w:rPr>
        <w:t>______________________________________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3C16" w:rsidRDefault="00BC3C16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A343C" w:rsidRDefault="001A343C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A343C" w:rsidRDefault="001A343C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A343C" w:rsidRDefault="001A343C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A343C" w:rsidRDefault="001A343C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A343C" w:rsidRDefault="001A343C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F3044" w:rsidRDefault="00CF3044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8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800000"/>
          <w:sz w:val="28"/>
          <w:szCs w:val="28"/>
        </w:rPr>
        <w:t>ATMINTINĖ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0"/>
          <w:sz w:val="28"/>
          <w:szCs w:val="28"/>
        </w:rPr>
        <w:t>Kvalifikacinės kategorijos ir stažas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Mokytojas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Atestuotis nereikia</w:t>
      </w:r>
      <w:r>
        <w:rPr>
          <w:rFonts w:ascii="TimesNewRoman" w:hAnsi="TimesNewRoman" w:cs="TimesNewRoman"/>
          <w:color w:val="000000"/>
          <w:sz w:val="24"/>
          <w:szCs w:val="24"/>
        </w:rPr>
        <w:t>. Suteikiama įgijus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aukštąjį ar aukštesnįjį išsilavinimą ir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turint pedagogo kvalifikaciją.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Vyresnysis mokytojas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4 metų </w:t>
      </w:r>
      <w:r>
        <w:rPr>
          <w:rFonts w:ascii="TimesNewRoman" w:hAnsi="TimesNewRoman" w:cs="TimesNewRoman"/>
          <w:color w:val="000000"/>
          <w:sz w:val="24"/>
          <w:szCs w:val="24"/>
        </w:rPr>
        <w:t>paskutinių metų dalyko mokymo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stažas. Skleidžia darbo patirtį mokykloje.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Mokytojas metodininkas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5 metų </w:t>
      </w:r>
      <w:r>
        <w:rPr>
          <w:rFonts w:ascii="TimesNewRoman" w:hAnsi="TimesNewRoman" w:cs="TimesNewRoman"/>
          <w:color w:val="000000"/>
          <w:sz w:val="24"/>
          <w:szCs w:val="24"/>
        </w:rPr>
        <w:t>paskutinių metų dalyko mokymo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stažas. Skleidžia darbo patirtį mokykloje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ir regione.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Mokytojas ekspertas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6 metų </w:t>
      </w:r>
      <w:r>
        <w:rPr>
          <w:rFonts w:ascii="TimesNewRoman" w:hAnsi="TimesNewRoman" w:cs="TimesNewRoman"/>
          <w:color w:val="000000"/>
          <w:sz w:val="24"/>
          <w:szCs w:val="24"/>
        </w:rPr>
        <w:t>paskutinių metų dalyko mokymo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stažas. Skleidžia darbo patirtį mokykloje,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regione, šalyje.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0"/>
          <w:sz w:val="28"/>
          <w:szCs w:val="28"/>
        </w:rPr>
        <w:t>Pasirengimas atestacijai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PIRMĄ KARTĄ besiatestuojantis mokytojas privalo išklausyti: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valstybinės kalbos kultūros kursus </w:t>
      </w:r>
      <w:r>
        <w:rPr>
          <w:rFonts w:ascii="TimesNewRoman" w:hAnsi="TimesNewRoman" w:cs="TimesNewRoman"/>
          <w:color w:val="000000"/>
          <w:sz w:val="24"/>
          <w:szCs w:val="24"/>
        </w:rPr>
        <w:t>pagal Lietuvos Respublikos švietimo ir mokslo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ministro patvirtintą programą (šis reikalavimas netaikomas lietuvių kalbos mokytojams). Jeigu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asmuo yra išklausęs ne mažesnės apimties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(22 valandų) </w:t>
      </w:r>
      <w:r>
        <w:rPr>
          <w:rFonts w:ascii="TimesNewRoman" w:hAnsi="TimesNewRoman" w:cs="TimesNewRoman"/>
          <w:color w:val="000000"/>
          <w:sz w:val="24"/>
          <w:szCs w:val="24"/>
        </w:rPr>
        <w:t>kursą studijų metu, jis įskaitomas,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asmeniui pateikus tai įrodantį dokumentą.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kompiuterinio raštingumo kursus </w:t>
      </w:r>
      <w:r>
        <w:rPr>
          <w:rFonts w:ascii="TimesNewRoman" w:hAnsi="TimesNewRoman" w:cs="TimesNewRoman"/>
          <w:color w:val="000000"/>
          <w:sz w:val="24"/>
          <w:szCs w:val="24"/>
        </w:rPr>
        <w:t>(programas), atitinkančius Lietuvos Respublikos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švietimo ir mokslo ministro patvirtintus reikalavimus mokytojų kompiuterinio raštingumo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programoms. Jeigu asmuo yra išklausęs ne mažesnės apimties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(40 valandų technologinės ir 40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valandų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edukologinės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dalies) </w:t>
      </w:r>
      <w:r>
        <w:rPr>
          <w:rFonts w:ascii="TimesNewRoman" w:hAnsi="TimesNewRoman" w:cs="TimesNewRoman"/>
          <w:color w:val="000000"/>
          <w:sz w:val="24"/>
          <w:szCs w:val="24"/>
        </w:rPr>
        <w:t>kursus anksčiau arba studijų metu, jie įskaitomi asmeniui pateikus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tai įrodantį dokumentą (šis reikalavimas netaikomas informacinių technologijų mokytojams);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specialiosios pedagogikos ir specialiosios psichologijos kursus mokytojams,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neturintiems specialiojo pedagogo kvalifikacijos</w:t>
      </w:r>
      <w:r>
        <w:rPr>
          <w:rFonts w:ascii="TimesNewRoman" w:hAnsi="TimesNewRoman" w:cs="TimesNewRoman"/>
          <w:color w:val="000000"/>
          <w:sz w:val="24"/>
          <w:szCs w:val="24"/>
        </w:rPr>
        <w:t>, pagal Lietuvos Respublikos švietimo ir mokslo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ministro patvirtintą programą. Jeigu asmuo yra išklausęs ne mažesnės apimties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(60 valandų) </w:t>
      </w:r>
      <w:r>
        <w:rPr>
          <w:rFonts w:ascii="TimesNewRoman" w:hAnsi="TimesNewRoman" w:cs="TimesNewRoman"/>
          <w:color w:val="000000"/>
          <w:sz w:val="24"/>
          <w:szCs w:val="24"/>
        </w:rPr>
        <w:t>kursus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anksčiau arba studijų metu, jie įskaitomi asmeniui pateikus tai įrodantį dokumentą;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Magistrai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(edukologijos ar mokomojo dalyko) privalo išklausyti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tik </w:t>
      </w:r>
      <w:r>
        <w:rPr>
          <w:rFonts w:ascii="TimesNewRoman" w:hAnsi="TimesNewRoman" w:cs="TimesNewRoman"/>
          <w:color w:val="000000"/>
          <w:sz w:val="24"/>
          <w:szCs w:val="24"/>
        </w:rPr>
        <w:t>specialiosios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pedagogikos ir specialiosios psichologijos kursus.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PAKARTOTINAI besiatestuojantis mokytojas </w:t>
      </w:r>
      <w:r>
        <w:rPr>
          <w:rFonts w:ascii="TimesNewRoman" w:hAnsi="TimesNewRoman" w:cs="TimesNewRoman"/>
          <w:color w:val="000000"/>
          <w:sz w:val="24"/>
          <w:szCs w:val="24"/>
        </w:rPr>
        <w:t>(siekiantis aukštesnės kvalifikacinės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kategorijos)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privalo išklausyti: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Specialiosios pedagogikos ir specialiosios psichologijos kursus ( 40 val.).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Je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asmuo yra išklausęs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anksčiau ar studijų metu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atitinkamą kursą</w:t>
      </w:r>
      <w:r>
        <w:rPr>
          <w:rFonts w:ascii="TimesNewRoman" w:hAnsi="TimesNewRoman" w:cs="TimesNewRoman"/>
          <w:color w:val="000000"/>
          <w:sz w:val="24"/>
          <w:szCs w:val="24"/>
        </w:rPr>
        <w:t>, privalo pateikti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įrodančius dokumentus (bet ne mažiau 40 val./40 kreditų).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0"/>
          <w:sz w:val="28"/>
          <w:szCs w:val="28"/>
        </w:rPr>
        <w:t>Dokumentų pateikimas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Ketinantis atestuotis mokytojas pateikia komisijai (pirminis pateikimas):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Prašymą įrašyti jį į mokytojų ir pagalbos mokiniui specialistų atestacijos programą;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Mokytojo ir pagalbos mokiniui specialisto duomenų anketą, parengtą pagal 2 priede pateiktą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formą.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0"/>
          <w:sz w:val="28"/>
          <w:szCs w:val="28"/>
        </w:rPr>
        <w:t>Atestacijos dokumentų parengimas ir pateikimas atestacijos komisijai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Atestacijos komisijos sekretoriui prieš dvi savaites iki atestacijos komisijos posėdžio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MOKYTOJAS pateikia šiuos dokumentus</w:t>
      </w:r>
      <w:r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esant reikalui patikslintą Mokytojo ir pagalbos mokiniui specialisto duomenų anketą;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5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Mokytojo ir pagalbos mokiniui specialisto kvalifikacijos tobulinimo lentelę, parengtą pagal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 priede pateiktą formą;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Savianalizės ir veiklos tobulinimo anketas -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kiekvienų atestuojamo laikotarpio mokslo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metų; </w:t>
      </w:r>
      <w:r>
        <w:rPr>
          <w:rFonts w:ascii="TimesNewRoman" w:hAnsi="TimesNewRoman" w:cs="TimesNewRoman"/>
          <w:color w:val="000000"/>
          <w:sz w:val="24"/>
          <w:szCs w:val="24"/>
        </w:rPr>
        <w:t>Šios anketos neprivalomos pirmą kartą besirengiančiam atestacijai mokytojui ar pagalbos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mokiniui specialistui (jis gali pateikti anketas savo noru).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Mokytojai metodininkai ir mokytojai ekspertai,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jei nori</w:t>
      </w:r>
      <w:r>
        <w:rPr>
          <w:rFonts w:ascii="TimesNewRoman" w:hAnsi="TimesNewRoman" w:cs="TimesNewRoman"/>
          <w:color w:val="000000"/>
          <w:sz w:val="24"/>
          <w:szCs w:val="24"/>
        </w:rPr>
        <w:t>, gali pateikti metodinių būrelių ar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tarybų rekomendacijas. o.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0"/>
          <w:sz w:val="28"/>
          <w:szCs w:val="28"/>
        </w:rPr>
        <w:t>Kvalifikacinių kategorijų suteikimo tvarka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ATESTUOJANTIS PIRMĄ KARTĄ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turi būti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įvertinta ne mažiau kaip trejų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paskutinių metų praktinė veikla </w:t>
      </w:r>
      <w:r>
        <w:rPr>
          <w:rFonts w:ascii="TimesNewRoman" w:hAnsi="TimesNewRoman" w:cs="TimesNewRoman"/>
          <w:color w:val="000000"/>
          <w:sz w:val="24"/>
          <w:szCs w:val="24"/>
        </w:rPr>
        <w:t>(siekiančių tiek vyresniojo mokytojo, tiek mokytojo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metodininko, tiek mokytojo eksperto kvalifikacinės kategorijos).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ATESTUOJANTIS PAKARTOTINAI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, vertinama jo veikla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nuo paskutinės iki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pakartotinės atestacijos </w:t>
      </w:r>
      <w:r>
        <w:rPr>
          <w:rFonts w:ascii="TimesNewRoman" w:hAnsi="TimesNewRoman" w:cs="TimesNewRoman"/>
          <w:color w:val="000000"/>
          <w:sz w:val="24"/>
          <w:szCs w:val="24"/>
        </w:rPr>
        <w:t>(bet ne daugiau kaip trejų paskutinių metų)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Mokytojo veiklos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vertinimas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ir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atestacija neturi užtrukti ilgiau nei 6 mėnesius.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Pakartotinai gali atestuotis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aukštesnei kvalifikacinei kategorijai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ne anksčiau kaip po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dvejų metų </w:t>
      </w:r>
      <w:r>
        <w:rPr>
          <w:rFonts w:ascii="TimesNewRoman" w:hAnsi="TimesNewRoman" w:cs="TimesNewRoman"/>
          <w:color w:val="000000"/>
          <w:sz w:val="24"/>
          <w:szCs w:val="24"/>
        </w:rPr>
        <w:t>nuo paskutinės atestacijos.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0"/>
          <w:sz w:val="28"/>
          <w:szCs w:val="28"/>
        </w:rPr>
        <w:t>Kas vertina?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Pretenduojančio įgyti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vyresniojo mokytojo </w:t>
      </w:r>
      <w:r>
        <w:rPr>
          <w:rFonts w:ascii="TimesNewRoman" w:hAnsi="TimesNewRoman" w:cs="TimesNewRoman"/>
          <w:color w:val="000000"/>
          <w:sz w:val="24"/>
          <w:szCs w:val="24"/>
        </w:rPr>
        <w:t>kvalifikacinę kategoriją asmens veiklą vertina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kuruojantis vadovas. Pretenduojančio įgyti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MOKYTOJO METODININKO </w:t>
      </w:r>
      <w:r>
        <w:rPr>
          <w:rFonts w:ascii="TimesNewRoman" w:hAnsi="TimesNewRoman" w:cs="TimesNewRoman"/>
          <w:color w:val="000000"/>
          <w:sz w:val="24"/>
          <w:szCs w:val="24"/>
        </w:rPr>
        <w:t>kvalifikacinę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kategoriją praktinę veiklą vertina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trijų vertintojų grupė</w:t>
      </w:r>
      <w:r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Mokyklos vadovas ar kuruojantis vadovas.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Steigėjo deleguotas atstovas.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Dalyko mokytojas, deleguotas steigėjo.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Dalyko mokytojas (vertintojas) negali būti iš tos pačios mokyklos. Jis turi turėti ne žemesnę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kaip mokytojo metodininko kvalifikacinę kategoriją. Pretenduojančio įgyti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MOKYTOJO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EKSPERTO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kvalifikacinę kategoriją asmens praktinę veiklą vertina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trijų vertintojų grupė</w:t>
      </w:r>
      <w:r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Mokyklos vadovas ar kuruojantis vadovas.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Steigėjo deleguotas asmuo.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MKC deleguotas ekspertas.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Mokytojų kompetencijos centro atstovas atvyksta į mokyklą, nebereikia vykti su popieriais į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Vilnių.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8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80"/>
          <w:sz w:val="24"/>
          <w:szCs w:val="24"/>
        </w:rPr>
        <w:t>KVALIFIKACINIŲ KATEGORIJŲ SUTEIKIMO TERMINAI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Kvalifikacinė kategorija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mokytojui atestacijos komisijos nutarimu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suteikiama</w:t>
      </w:r>
      <w:r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nuo sausio 1 d. </w:t>
      </w:r>
      <w:r>
        <w:rPr>
          <w:rFonts w:ascii="TimesNewRoman" w:hAnsi="TimesNewRoman" w:cs="TimesNewRoman"/>
          <w:color w:val="000000"/>
          <w:sz w:val="24"/>
          <w:szCs w:val="24"/>
        </w:rPr>
        <w:t>, jei atestuojamas rugsėjo 1 d. – gruodžio 31 d. laikotarpiu;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nuo rugsėjo 1 d.</w:t>
      </w:r>
      <w:r>
        <w:rPr>
          <w:rFonts w:ascii="TimesNewRoman" w:hAnsi="TimesNewRoman" w:cs="TimesNewRoman"/>
          <w:color w:val="000000"/>
          <w:sz w:val="24"/>
          <w:szCs w:val="24"/>
        </w:rPr>
        <w:t>, jei atestuojamas sausio 1 d. – rugpjūčio 31 d. laikotarpiu.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Komisijos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nutarime turi būti nurodoma data</w:t>
      </w:r>
      <w:r>
        <w:rPr>
          <w:rFonts w:ascii="TimesNewRoman" w:hAnsi="TimesNewRoman" w:cs="TimesNewRoman"/>
          <w:color w:val="000000"/>
          <w:sz w:val="24"/>
          <w:szCs w:val="24"/>
        </w:rPr>
        <w:t>, nuo kurios bus mokamas atlyginimas pagal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naują kvalifikacinę kategoriją.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ATITIKTIES NUSTATYMAS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ATITIKTIES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turimai kvalifikacinei kategorijai nustatymo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tvarka dabar jau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reglamentuota.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Įgyta kvalifikacinė kategorija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galioja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kol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atestacijos komisija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nenustato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kad pedagogo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veikla neatitinka turimos kvalifikacinės kategorijos reikalavimų ir kol jis nėra peratestuotas.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Įgijęs kvalifikacinę kategoriją ir nesiekiantis aukštesnės kategorijos mokytojas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Kasmet rengia savianalizės ir veiklos tobulinimo anketą (4 priedas).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Aptaria tą anketą su kuruojančiu vadovu.</w:t>
      </w:r>
    </w:p>
    <w:p w:rsidR="00B47831" w:rsidRDefault="00B47831" w:rsidP="00B478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Vadovas rašo savo komentarus ir išvadas dėl kvalifikacinės kategorijos atitikties.</w:t>
      </w:r>
    </w:p>
    <w:p w:rsidR="00B47831" w:rsidRDefault="00B47831" w:rsidP="00B47831"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NewRoman" w:hAnsi="TimesNewRoman" w:cs="TimesNewRoman"/>
          <w:color w:val="000000"/>
          <w:sz w:val="24"/>
          <w:szCs w:val="24"/>
        </w:rPr>
        <w:t>Jos saugomos institucijoje vadovo nustatyta tvarka.</w:t>
      </w:r>
    </w:p>
    <w:sectPr w:rsidR="00B47831" w:rsidSect="002C6230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31"/>
    <w:rsid w:val="001A343C"/>
    <w:rsid w:val="002C6230"/>
    <w:rsid w:val="004775F2"/>
    <w:rsid w:val="0077439A"/>
    <w:rsid w:val="0092193F"/>
    <w:rsid w:val="00B47831"/>
    <w:rsid w:val="00BC3C16"/>
    <w:rsid w:val="00CF3044"/>
    <w:rsid w:val="00D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4B82"/>
  <w15:chartTrackingRefBased/>
  <w15:docId w15:val="{4BF7DE35-C4B3-43DC-B061-3ACEE460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478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2B66-B0EA-43E9-BF83-BB9D3979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9203</Words>
  <Characters>5246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4</cp:revision>
  <cp:lastPrinted>2021-02-25T12:52:00Z</cp:lastPrinted>
  <dcterms:created xsi:type="dcterms:W3CDTF">2021-02-22T12:34:00Z</dcterms:created>
  <dcterms:modified xsi:type="dcterms:W3CDTF">2021-02-25T13:00:00Z</dcterms:modified>
</cp:coreProperties>
</file>